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8"/>
      </w:tblGrid>
      <w:tr w:rsidR="009075E4" w:rsidRPr="009075E4" w:rsidTr="00734DF4">
        <w:trPr>
          <w:trHeight w:val="729"/>
        </w:trPr>
        <w:tc>
          <w:tcPr>
            <w:tcW w:w="11268" w:type="dxa"/>
            <w:vAlign w:val="center"/>
          </w:tcPr>
          <w:p w:rsidR="003861D7" w:rsidRDefault="003861D7" w:rsidP="009075E4">
            <w:pP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7AEF1797" wp14:editId="4168F6F7">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540A44" w:rsidRPr="00384B5D" w:rsidRDefault="003861D7" w:rsidP="00384B5D">
            <w:pPr>
              <w:outlineLvl w:val="0"/>
              <w:rPr>
                <w:rFonts w:ascii="Times New Roman" w:eastAsia="Times New Roman" w:hAnsi="Times New Roman" w:cs="Times New Roman"/>
                <w:b/>
                <w:bCs/>
                <w:kern w:val="36"/>
                <w:sz w:val="48"/>
                <w:szCs w:val="48"/>
              </w:rPr>
            </w:pPr>
            <w:r w:rsidRPr="003861D7">
              <w:rPr>
                <w:rStyle w:val="heading1"/>
                <w:sz w:val="48"/>
                <w:szCs w:val="48"/>
              </w:rPr>
              <w:t>#1 Licensing</w:t>
            </w:r>
            <w:bookmarkStart w:id="0" w:name="_GoBack"/>
            <w:bookmarkEnd w:id="0"/>
          </w:p>
        </w:tc>
      </w:tr>
    </w:tbl>
    <w:p w:rsidR="00744E04" w:rsidRDefault="00744E04" w:rsidP="00744E0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0"/>
        <w:gridCol w:w="2520"/>
      </w:tblGrid>
      <w:tr w:rsidR="00384B5D" w:rsidRPr="00E461B3" w:rsidTr="00C62772">
        <w:trPr>
          <w:cantSplit/>
          <w:trHeight w:val="597"/>
          <w:tblHeader/>
        </w:trPr>
        <w:tc>
          <w:tcPr>
            <w:tcW w:w="1548" w:type="dxa"/>
            <w:shd w:val="clear" w:color="auto" w:fill="8DB3E2"/>
            <w:vAlign w:val="center"/>
          </w:tcPr>
          <w:p w:rsidR="00384B5D" w:rsidRPr="00E461B3" w:rsidRDefault="00384B5D" w:rsidP="00C62772">
            <w:pPr>
              <w:spacing w:after="0"/>
              <w:jc w:val="center"/>
              <w:rPr>
                <w:rFonts w:ascii="Arial" w:hAnsi="Arial" w:cs="Arial"/>
                <w:b/>
              </w:rPr>
            </w:pPr>
            <w:r w:rsidRPr="00E461B3">
              <w:rPr>
                <w:rFonts w:ascii="Arial" w:hAnsi="Arial" w:cs="Arial"/>
                <w:b/>
              </w:rPr>
              <w:t>Assessment</w:t>
            </w:r>
          </w:p>
          <w:p w:rsidR="00384B5D" w:rsidRPr="00E461B3" w:rsidRDefault="00384B5D" w:rsidP="00C62772">
            <w:pPr>
              <w:spacing w:after="0"/>
              <w:jc w:val="center"/>
              <w:rPr>
                <w:rFonts w:ascii="Arial" w:hAnsi="Arial" w:cs="Arial"/>
                <w:b/>
              </w:rPr>
            </w:pPr>
            <w:r w:rsidRPr="00E461B3">
              <w:rPr>
                <w:rFonts w:ascii="Arial" w:hAnsi="Arial" w:cs="Arial"/>
                <w:b/>
              </w:rPr>
              <w:t>Procedure</w:t>
            </w:r>
          </w:p>
          <w:p w:rsidR="00384B5D" w:rsidRPr="00E461B3" w:rsidRDefault="00384B5D" w:rsidP="00C62772">
            <w:pPr>
              <w:spacing w:after="0"/>
              <w:jc w:val="center"/>
              <w:rPr>
                <w:rFonts w:ascii="Arial" w:hAnsi="Arial" w:cs="Arial"/>
                <w:b/>
              </w:rPr>
            </w:pPr>
            <w:r w:rsidRPr="00E461B3">
              <w:rPr>
                <w:rFonts w:ascii="Arial" w:hAnsi="Arial" w:cs="Arial"/>
                <w:b/>
              </w:rPr>
              <w:t>Number</w:t>
            </w:r>
          </w:p>
        </w:tc>
        <w:tc>
          <w:tcPr>
            <w:tcW w:w="5400" w:type="dxa"/>
            <w:shd w:val="clear" w:color="auto" w:fill="8DB3E2"/>
            <w:vAlign w:val="center"/>
          </w:tcPr>
          <w:p w:rsidR="00384B5D" w:rsidRPr="00E461B3" w:rsidRDefault="00384B5D" w:rsidP="00C62772">
            <w:pPr>
              <w:rPr>
                <w:rFonts w:ascii="Arial" w:hAnsi="Arial" w:cs="Arial"/>
              </w:rPr>
            </w:pPr>
            <w:r w:rsidRPr="00E461B3">
              <w:rPr>
                <w:rFonts w:ascii="Arial" w:hAnsi="Arial" w:cs="Arial"/>
                <w:b/>
                <w:bCs/>
              </w:rPr>
              <w:t>ALTA Best Practices Framework: Assessment Procedures</w:t>
            </w:r>
          </w:p>
        </w:tc>
        <w:tc>
          <w:tcPr>
            <w:tcW w:w="2520" w:type="dxa"/>
            <w:shd w:val="clear" w:color="auto" w:fill="8DB3E2"/>
            <w:vAlign w:val="center"/>
          </w:tcPr>
          <w:p w:rsidR="00384B5D" w:rsidRPr="00E461B3" w:rsidRDefault="00384B5D" w:rsidP="00C62772">
            <w:pPr>
              <w:pStyle w:val="columnhead"/>
              <w:spacing w:before="120" w:after="120"/>
              <w:rPr>
                <w:rFonts w:cs="Arial"/>
                <w:bCs/>
              </w:rPr>
            </w:pPr>
            <w:r w:rsidRPr="00E461B3">
              <w:rPr>
                <w:rFonts w:cs="Arial"/>
                <w:bCs/>
              </w:rPr>
              <w:t>Assessment Recap</w:t>
            </w:r>
          </w:p>
        </w:tc>
      </w:tr>
      <w:tr w:rsidR="00384B5D" w:rsidRPr="00E461B3" w:rsidTr="00C62772">
        <w:trPr>
          <w:cantSplit/>
        </w:trPr>
        <w:tc>
          <w:tcPr>
            <w:tcW w:w="1548" w:type="dxa"/>
          </w:tcPr>
          <w:p w:rsidR="00384B5D" w:rsidRPr="00E461B3" w:rsidRDefault="00384B5D" w:rsidP="00C62772">
            <w:pPr>
              <w:rPr>
                <w:rFonts w:ascii="Arial" w:hAnsi="Arial" w:cs="Arial"/>
                <w:b/>
              </w:rPr>
            </w:pPr>
          </w:p>
        </w:tc>
        <w:tc>
          <w:tcPr>
            <w:tcW w:w="5400" w:type="dxa"/>
          </w:tcPr>
          <w:p w:rsidR="00384B5D" w:rsidRPr="00E461B3" w:rsidRDefault="00384B5D" w:rsidP="00C62772">
            <w:pPr>
              <w:pStyle w:val="response"/>
              <w:rPr>
                <w:rFonts w:ascii="Arial" w:hAnsi="Arial" w:cs="Arial"/>
                <w:b/>
              </w:rPr>
            </w:pPr>
            <w:bookmarkStart w:id="1" w:name="ASSTBP1"/>
            <w:r>
              <w:rPr>
                <w:rFonts w:ascii="Arial" w:hAnsi="Arial" w:cs="Arial"/>
                <w:b/>
              </w:rPr>
              <w:t xml:space="preserve">ALTA </w:t>
            </w:r>
            <w:r w:rsidRPr="00E461B3">
              <w:rPr>
                <w:rFonts w:ascii="Arial" w:hAnsi="Arial" w:cs="Arial"/>
                <w:b/>
              </w:rPr>
              <w:t>Best Practice 1</w:t>
            </w:r>
            <w:bookmarkEnd w:id="1"/>
            <w:r w:rsidRPr="00E461B3">
              <w:rPr>
                <w:rFonts w:ascii="Arial" w:hAnsi="Arial" w:cs="Arial"/>
                <w:b/>
              </w:rPr>
              <w:t>:</w:t>
            </w:r>
          </w:p>
          <w:p w:rsidR="00384B5D" w:rsidRPr="00E461B3" w:rsidRDefault="00384B5D" w:rsidP="00C62772">
            <w:pPr>
              <w:pStyle w:val="response"/>
              <w:rPr>
                <w:rFonts w:ascii="Arial" w:hAnsi="Arial" w:cs="Arial"/>
                <w:b/>
                <w:bCs/>
                <w:iCs/>
              </w:rPr>
            </w:pPr>
            <w:r w:rsidRPr="00E461B3">
              <w:rPr>
                <w:rFonts w:ascii="Arial" w:hAnsi="Arial" w:cs="Arial"/>
                <w:b/>
                <w:bCs/>
                <w:iCs/>
              </w:rPr>
              <w:t xml:space="preserve">Establish and maintain current </w:t>
            </w:r>
            <w:r>
              <w:rPr>
                <w:rFonts w:ascii="Arial" w:hAnsi="Arial" w:cs="Arial"/>
                <w:b/>
                <w:bCs/>
                <w:iCs/>
              </w:rPr>
              <w:t>L</w:t>
            </w:r>
            <w:r w:rsidRPr="00E461B3">
              <w:rPr>
                <w:rFonts w:ascii="Arial" w:hAnsi="Arial" w:cs="Arial"/>
                <w:b/>
                <w:bCs/>
                <w:iCs/>
              </w:rPr>
              <w:t>icense(s) as required to conduct the business of title insurance and settlement services.</w:t>
            </w:r>
          </w:p>
          <w:p w:rsidR="00384B5D" w:rsidRPr="00E461B3" w:rsidRDefault="00384B5D" w:rsidP="00C62772">
            <w:pPr>
              <w:pStyle w:val="response"/>
              <w:rPr>
                <w:rFonts w:ascii="Arial" w:hAnsi="Arial" w:cs="Arial"/>
                <w:b/>
                <w:bCs/>
              </w:rPr>
            </w:pPr>
          </w:p>
        </w:tc>
        <w:tc>
          <w:tcPr>
            <w:tcW w:w="2520" w:type="dxa"/>
            <w:vAlign w:val="center"/>
          </w:tcPr>
          <w:p w:rsidR="00384B5D" w:rsidRPr="00E461B3" w:rsidRDefault="00384B5D" w:rsidP="00C62772">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1 FAILS.</w:t>
            </w:r>
          </w:p>
        </w:tc>
      </w:tr>
      <w:tr w:rsidR="00384B5D" w:rsidRPr="00E461B3" w:rsidTr="00C62772">
        <w:trPr>
          <w:cantSplit/>
        </w:trPr>
        <w:tc>
          <w:tcPr>
            <w:tcW w:w="1548" w:type="dxa"/>
          </w:tcPr>
          <w:p w:rsidR="00384B5D" w:rsidRPr="00E461B3" w:rsidRDefault="00384B5D" w:rsidP="00C62772">
            <w:pPr>
              <w:rPr>
                <w:rFonts w:ascii="Arial" w:hAnsi="Arial" w:cs="Arial"/>
              </w:rPr>
            </w:pPr>
            <w:r w:rsidRPr="00E461B3">
              <w:rPr>
                <w:rFonts w:ascii="Arial" w:hAnsi="Arial" w:cs="Arial"/>
              </w:rPr>
              <w:t>1.</w:t>
            </w:r>
            <w:r>
              <w:rPr>
                <w:rFonts w:ascii="Arial" w:hAnsi="Arial" w:cs="Arial"/>
              </w:rPr>
              <w:t>0</w:t>
            </w:r>
            <w:r w:rsidRPr="00E461B3">
              <w:rPr>
                <w:rFonts w:ascii="Arial" w:hAnsi="Arial" w:cs="Arial"/>
              </w:rPr>
              <w:t>1*</w:t>
            </w:r>
          </w:p>
          <w:p w:rsidR="00384B5D" w:rsidRPr="00E461B3" w:rsidRDefault="00384B5D" w:rsidP="00C62772">
            <w:pPr>
              <w:rPr>
                <w:rFonts w:ascii="Arial" w:hAnsi="Arial" w:cs="Arial"/>
              </w:rPr>
            </w:pPr>
          </w:p>
        </w:tc>
        <w:tc>
          <w:tcPr>
            <w:tcW w:w="5400" w:type="dxa"/>
          </w:tcPr>
          <w:p w:rsidR="00384B5D" w:rsidRPr="00E461B3" w:rsidRDefault="00384B5D" w:rsidP="00C62772">
            <w:pPr>
              <w:autoSpaceDE w:val="0"/>
              <w:autoSpaceDN w:val="0"/>
              <w:adjustRightInd w:val="0"/>
              <w:rPr>
                <w:rFonts w:ascii="Arial" w:hAnsi="Arial" w:cs="Arial"/>
              </w:rPr>
            </w:pPr>
            <w:r w:rsidRPr="00E461B3">
              <w:rPr>
                <w:rFonts w:ascii="Arial" w:hAnsi="Arial" w:cs="Arial"/>
              </w:rPr>
              <w:t xml:space="preserve">Confirm the active status of the Company and/or individual </w:t>
            </w:r>
            <w:r>
              <w:rPr>
                <w:rFonts w:ascii="Arial" w:hAnsi="Arial" w:cs="Arial"/>
              </w:rPr>
              <w:t>L</w:t>
            </w:r>
            <w:r w:rsidRPr="00E461B3">
              <w:rPr>
                <w:rFonts w:ascii="Arial" w:hAnsi="Arial" w:cs="Arial"/>
              </w:rPr>
              <w:t xml:space="preserve">icenses/registrations for each state in which the Company conducts business.  Validate compliance with ALTA Policy Forms Licensing Requirement.   Documentation reviewed may include actual licenses, Department of Insurance or appropriate state regulatory agency websites/screenshots, Bar Association status, corporate or business registrations with the state and other documentation as applicable to state/license.  </w:t>
            </w:r>
          </w:p>
          <w:p w:rsidR="00384B5D" w:rsidRPr="00E461B3" w:rsidRDefault="00384B5D" w:rsidP="00C62772">
            <w:pPr>
              <w:autoSpaceDE w:val="0"/>
              <w:autoSpaceDN w:val="0"/>
              <w:adjustRightInd w:val="0"/>
              <w:rPr>
                <w:rFonts w:ascii="Arial" w:hAnsi="Arial" w:cs="Arial"/>
              </w:rPr>
            </w:pPr>
            <w:r w:rsidRPr="00E461B3">
              <w:rPr>
                <w:rFonts w:ascii="Arial" w:hAnsi="Arial" w:cs="Arial"/>
              </w:rPr>
              <w:t>Sample Selection:</w:t>
            </w:r>
          </w:p>
          <w:p w:rsidR="00384B5D" w:rsidRPr="00E461B3" w:rsidRDefault="00384B5D" w:rsidP="00384B5D">
            <w:pPr>
              <w:numPr>
                <w:ilvl w:val="0"/>
                <w:numId w:val="3"/>
              </w:numPr>
              <w:autoSpaceDE w:val="0"/>
              <w:autoSpaceDN w:val="0"/>
              <w:adjustRightInd w:val="0"/>
              <w:spacing w:before="120" w:after="120" w:line="240" w:lineRule="auto"/>
              <w:rPr>
                <w:rFonts w:ascii="Arial" w:hAnsi="Arial" w:cs="Arial"/>
              </w:rPr>
            </w:pPr>
            <w:r w:rsidRPr="00E461B3">
              <w:rPr>
                <w:rFonts w:ascii="Arial" w:hAnsi="Arial" w:cs="Arial"/>
              </w:rPr>
              <w:t>100% of all required licenses and corporate registrations in all states in which Company operates on assessment date.</w:t>
            </w:r>
          </w:p>
          <w:p w:rsidR="00384B5D" w:rsidRPr="00E461B3" w:rsidRDefault="00384B5D" w:rsidP="00384B5D">
            <w:pPr>
              <w:numPr>
                <w:ilvl w:val="0"/>
                <w:numId w:val="3"/>
              </w:numPr>
              <w:autoSpaceDE w:val="0"/>
              <w:autoSpaceDN w:val="0"/>
              <w:adjustRightInd w:val="0"/>
              <w:spacing w:before="120" w:after="120" w:line="240" w:lineRule="auto"/>
              <w:rPr>
                <w:rFonts w:ascii="Arial" w:hAnsi="Arial" w:cs="Arial"/>
              </w:rPr>
            </w:pPr>
            <w:r w:rsidRPr="00E461B3">
              <w:rPr>
                <w:rFonts w:ascii="Arial" w:hAnsi="Arial" w:cs="Arial"/>
              </w:rPr>
              <w:t xml:space="preserve">View Company’s active ALTA </w:t>
            </w:r>
            <w:r>
              <w:rPr>
                <w:rFonts w:ascii="Arial" w:hAnsi="Arial" w:cs="Arial"/>
              </w:rPr>
              <w:t>Policy F</w:t>
            </w:r>
            <w:r w:rsidRPr="00E461B3">
              <w:rPr>
                <w:rFonts w:ascii="Arial" w:hAnsi="Arial" w:cs="Arial"/>
              </w:rPr>
              <w:t xml:space="preserve">orms </w:t>
            </w:r>
            <w:r>
              <w:rPr>
                <w:rFonts w:ascii="Arial" w:hAnsi="Arial" w:cs="Arial"/>
              </w:rPr>
              <w:t>L</w:t>
            </w:r>
            <w:r w:rsidRPr="00E461B3">
              <w:rPr>
                <w:rFonts w:ascii="Arial" w:hAnsi="Arial" w:cs="Arial"/>
              </w:rPr>
              <w:t xml:space="preserve">icense or </w:t>
            </w:r>
            <w:proofErr w:type="gramStart"/>
            <w:r w:rsidRPr="00E461B3">
              <w:rPr>
                <w:rFonts w:ascii="Arial" w:hAnsi="Arial" w:cs="Arial"/>
              </w:rPr>
              <w:t>verify</w:t>
            </w:r>
            <w:proofErr w:type="gramEnd"/>
            <w:r w:rsidRPr="00E461B3">
              <w:rPr>
                <w:rFonts w:ascii="Arial" w:hAnsi="Arial" w:cs="Arial"/>
              </w:rPr>
              <w:t xml:space="preserve"> compliance on ALTA website</w:t>
            </w:r>
            <w:r>
              <w:rPr>
                <w:rFonts w:ascii="Arial" w:hAnsi="Arial" w:cs="Arial"/>
              </w:rPr>
              <w:t>.</w:t>
            </w:r>
          </w:p>
        </w:tc>
        <w:tc>
          <w:tcPr>
            <w:tcW w:w="2520" w:type="dxa"/>
            <w:vAlign w:val="center"/>
          </w:tcPr>
          <w:p w:rsidR="00384B5D" w:rsidRPr="00E461B3" w:rsidRDefault="00384B5D" w:rsidP="00C62772">
            <w:pPr>
              <w:jc w:val="center"/>
              <w:rPr>
                <w:rFonts w:ascii="Arial" w:hAnsi="Arial" w:cs="Arial"/>
              </w:rPr>
            </w:pPr>
            <w:r w:rsidRPr="00E461B3">
              <w:rPr>
                <w:rFonts w:ascii="Arial" w:hAnsi="Arial" w:cs="Arial"/>
              </w:rPr>
              <w:t>PASS / FAIL</w:t>
            </w:r>
          </w:p>
        </w:tc>
      </w:tr>
    </w:tbl>
    <w:p w:rsidR="00744E04" w:rsidRDefault="00744E04" w:rsidP="00744E04"/>
    <w:sectPr w:rsidR="00744E04" w:rsidSect="00907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335D"/>
    <w:multiLevelType w:val="hybridMultilevel"/>
    <w:tmpl w:val="67E645BE"/>
    <w:lvl w:ilvl="0" w:tplc="19B0BC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55E46"/>
    <w:multiLevelType w:val="hybridMultilevel"/>
    <w:tmpl w:val="D7D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E4"/>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4B5D"/>
    <w:rsid w:val="00386131"/>
    <w:rsid w:val="003861D7"/>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02ABA"/>
    <w:rsid w:val="005137CA"/>
    <w:rsid w:val="00513B82"/>
    <w:rsid w:val="00514837"/>
    <w:rsid w:val="00517376"/>
    <w:rsid w:val="005210DA"/>
    <w:rsid w:val="005238FD"/>
    <w:rsid w:val="00523B4B"/>
    <w:rsid w:val="00524050"/>
    <w:rsid w:val="00532F05"/>
    <w:rsid w:val="005363D5"/>
    <w:rsid w:val="00537C39"/>
    <w:rsid w:val="00537FCE"/>
    <w:rsid w:val="00540A44"/>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08C2"/>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4E04"/>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075E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D655C"/>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paragraph" w:customStyle="1" w:styleId="columnhead">
    <w:name w:val="column head"/>
    <w:uiPriority w:val="99"/>
    <w:rsid w:val="00384B5D"/>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384B5D"/>
    <w:pPr>
      <w:spacing w:before="120" w:after="12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paragraph" w:customStyle="1" w:styleId="columnhead">
    <w:name w:val="column head"/>
    <w:uiPriority w:val="99"/>
    <w:rsid w:val="00384B5D"/>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384B5D"/>
    <w:pPr>
      <w:spacing w:before="120" w:after="12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2014-03-17T02:07:00Z</dcterms:created>
  <dcterms:modified xsi:type="dcterms:W3CDTF">2014-03-17T02:07:00Z</dcterms:modified>
</cp:coreProperties>
</file>